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правительства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Еврейской автономной области от 14.07.2022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 282-пп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б утверждении порядка предоставления и распределения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2022 году субсидий из областного бюджета за счет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федерального и областного бюджетов бюджетам 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образований Е</w:t>
      </w:r>
      <w:r>
        <w:rPr>
          <w:rFonts w:ascii="Times New Roman" w:hAnsi="Times New Roman"/>
          <w:sz w:val="28"/>
          <w:szCs w:val="28"/>
          <w:lang w:eastAsia="ru-RU"/>
        </w:rPr>
        <w:t xml:space="preserve">врейской автономной области на техническое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оснащение муниципальных музеев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bookmarkStart w:id="0" w:name="_GoBack"/>
      <w:r/>
      <w:bookmarkEnd w:id="0"/>
      <w:r/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Правительство Еврейской автономной области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ПОСТАНОВЛЯЕТ:</w:t>
      </w:r>
      <w:r/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в постановление правительства Еврейской автономной области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14.07.2022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 282-пп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б утверждении порядка предоставления и распределения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2022 году субсидий из областного бюджета за счет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федерального и областного бюджетов бюджетам 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образований Е</w:t>
      </w:r>
      <w:r>
        <w:rPr>
          <w:rFonts w:ascii="Times New Roman" w:hAnsi="Times New Roman"/>
          <w:sz w:val="28"/>
          <w:szCs w:val="28"/>
          <w:lang w:eastAsia="ru-RU"/>
        </w:rPr>
        <w:t xml:space="preserve">врейской автономной области на техническое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оснащение муниципальных музеев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/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1.1. Наименование изложить в следующей редакции:</w:t>
      </w:r>
      <w:r/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  <w:lang w:eastAsia="ru-RU"/>
        </w:rPr>
        <w:t xml:space="preserve">б утверждении порядка предоставления и распределения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2023 году субсидий из областного бюджета за счет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федерального и областного бюджетов бюджетам 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образований Е</w:t>
      </w:r>
      <w:r>
        <w:rPr>
          <w:rFonts w:ascii="Times New Roman" w:hAnsi="Times New Roman"/>
          <w:sz w:val="28"/>
          <w:szCs w:val="28"/>
          <w:lang w:eastAsia="ru-RU"/>
        </w:rPr>
        <w:t xml:space="preserve">врейской автономной области на техническое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оснащение региональных и муниципальных музеев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  <w:t xml:space="preserve">».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</w:r>
      <w:r/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1.2. Преамбулу изложить в следующей редакции: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hyperlink r:id="rId9" w:tooltip="consultantplus://offline/ref=EB195CFF28EE039C175F8773C67485F8BC71412C885A9FB8ACF0A685B57CC28D16E937A277D460EC969C15446825B93AF73DEC2C9D41l2pAX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с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татьей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139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tooltip="consultantplus://offline/ref=EB195CFF28EE039C175F997ED018DFF7BE7A1D23885896E7F0AFFDD8E275C8DA51A66EE434D867E7C2CD52116E70E160A231F327834328807AAD74l1pBX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31.10.2019 №389-пп "Об утверждении государственной программы Еврейской автономной области "Культура Еврейской автономной области" на 2020 - 2025 годы", </w:t>
      </w:r>
      <w:hyperlink r:id="rId11" w:tooltip="consultantplus://offline/ref=EB195CFF28EE039C175F8773C67485F8BC72422A875E9FB8ACF0A685B57CC28D16E937A472D562EEC99900553029B12DE93CF3309F432Bl9pDX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техническое осн</w:t>
      </w:r>
      <w:r>
        <w:rPr>
          <w:rFonts w:ascii="Times New Roman" w:hAnsi="Times New Roman" w:cs="Times New Roman"/>
          <w:sz w:val="28"/>
          <w:szCs w:val="28"/>
        </w:rPr>
        <w:t xml:space="preserve">ащение регионал</w:t>
      </w:r>
      <w:r>
        <w:rPr>
          <w:rFonts w:ascii="Times New Roman" w:hAnsi="Times New Roman" w:cs="Times New Roman"/>
          <w:sz w:val="28"/>
          <w:szCs w:val="28"/>
        </w:rPr>
        <w:t xml:space="preserve">ьных и муниципальных музеев, приведенными в приложении №26 к государственной программе Российской Федерации "Развитие культуры", утвержденной Постановлением Правительства Российской Федерации от 15.04.2014 №317, правительство Еврейской автономной области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/>
    </w:p>
    <w:p>
      <w:pPr>
        <w:pStyle w:val="844"/>
        <w:ind w:left="0" w:right="0" w:firstLine="709"/>
        <w:jc w:val="lef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предоставления и распределения в 2022 году субсидий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 областного бюджета за счет средств федерального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областного бюджетов бюджетам муниципальных образований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Еврейской автономной области на техническое оснащение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музеев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4"/>
        <w:ind w:left="0" w:right="0" w:firstLine="709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«Порядок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предоставления и распределения в 2023 году субсидий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 областного бюджета за счет средств федерального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областного бюджетов бюджетам муниципальных образований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Еврейской автономной области на техническое оснащение региональных и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музеев</w:t>
      </w:r>
      <w:r/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3"/>
        <w:ind w:left="0" w:right="0" w:firstLine="709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Настоящий Порядок предоставления и распределения в 2023 году субсидий из областного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за счет средств федерального и областного бюджетов бюджетам муниципальных образований Еврейской автономной области на техническое оснащение региональных и муниципальных музеев (далее - Порядок) устанавливает условия, це</w:t>
      </w:r>
      <w:r>
        <w:rPr>
          <w:rFonts w:ascii="Times New Roman" w:hAnsi="Times New Roman" w:cs="Times New Roman"/>
          <w:sz w:val="28"/>
          <w:szCs w:val="28"/>
        </w:rPr>
        <w:t xml:space="preserve">ли и механизм предоставления и распределения субсидий из областного бюджета за счет средств федерального и областного бюджетов бюджетам муниципальных образований Еврейской автономной области на техническое оснащение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музеев (далее - субсидия).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Субсидия носит целевой характер и не может быть использована на цели, не предусмотренные настоящим Порядком.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5. Субсидия предоставляется в соответствии с государственной </w:t>
      </w:r>
      <w:hyperlink r:id="rId12" w:tooltip="consultantplus://offline/ref=EB195CFF28EE039C175F997ED018DFF7BE7A1D23885896E7F0AFFDD8E275C8DA51A66EE434D867E7C2CD52116E70E160A231F327834328807AAD74l1pBX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программой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"Культура Еврейской автономной области" на 2020 - 2025 годы, утвержденной постановлением правительства Еврейской автономной области от 31.10.2019 №389-пп, в целях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Еврейской автономной области (далее - область), связанного с реализацией мероприятий муниципальной программы, предусматривающей техническое оснащение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музеев по следующим направлениям: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оборудования и технических средств, необходимых для осуществления экспозиционно-выставочной деятельности (включая доставку, погрузочно-разгрузочные работы, монтаж, установку, а также пусконаладочные работы);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оборудования и технических средств, необходимых для обеспечения сохранности и хранения музейных предметов (фондовое оборудование) (включая доставку, монтаж, установку, погрузочно-разгрузочные работы, а также пусконаладочные работы);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оборудования и технических средств, необходимых для обеспечения открытого хранения музейных предметов (включая доставку, монтаж, установку, погрузочно-разгрузочные работы, а также пусконаладочные работы);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оборудования и технических средств, необходимых для осуществления уставной деятельности, включая автоматизированные билетные системы, авто</w:t>
      </w:r>
      <w:r>
        <w:rPr>
          <w:rFonts w:ascii="Times New Roman" w:hAnsi="Times New Roman" w:cs="Times New Roman"/>
          <w:sz w:val="28"/>
          <w:szCs w:val="28"/>
        </w:rPr>
        <w:t xml:space="preserve">матизированные системы учета музейных предметов, а также специализированное оборудование для работы с посетителями с ограниченными возможностями здоровья (включая доставку, монтаж, установку, погрузочно-разгрузочные работы, а также пусконаладочные работы).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Субсидии предоставляются бюджетам муниципальных образований обла</w:t>
      </w:r>
      <w:r>
        <w:rPr>
          <w:rFonts w:ascii="Times New Roman" w:hAnsi="Times New Roman" w:cs="Times New Roman"/>
          <w:sz w:val="28"/>
          <w:szCs w:val="28"/>
        </w:rPr>
        <w:t xml:space="preserve">сти (далее - местный бюджет) в пределах лимитов бюджетных обязательств, доведенных в установленном порядке до департамента культуры правительства области (далее - Департамент) как главного распорядителя средств областного бюджета, на цели, предусмотренные </w:t>
      </w:r>
      <w:hyperlink w:tooltip="#P42" w:anchor="P4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Критериями отбора муниципального образования области для предоставления субсидии являются: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заявки о предоставлении субсидии по форме, утвержденной Департаментом;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наличие регистрации регионального и муниципального музея, техническое оснащение которого планируется за счет средств субсидии, в реестре музеев федеральной государственной информационной системы Государственного каталога музейного фонда.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Условиями предоставления субсидии являются: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муниципального правового акта муниципального образования области, утверждающего перечень мероприятий, в целях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наличие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 области, в целях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субсидия, в объеме, необходимом для его исполнения, включающем размер планируемой к предоставлению из областного бюджета субсидии;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заключение соглашения о предоставлении субсидии в соответствии с </w:t>
      </w:r>
      <w:hyperlink w:tooltip="#P56" w:anchor="P5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Предельный уровень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области за счет средств федерального и областного бюджетов определяется в размере 90 процентов.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9. Предоставление субсидий местным бюджетам осуществляется на основании соглашения о предоставлении субсидии, заключенного между Департаментом и органом местного самоуправления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области (далее - Соглашение)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формой, утвержденной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Субсидия предоставляется Департаментом в пределах бюджетных ассигнований и лимитов бюджетных обязательств, предусмотренных на цели, указанные в </w:t>
      </w:r>
      <w:hyperlink w:tooltip="#P42" w:anchor="P4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текущем финансовом году в федеральном и областном бюджетах.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Перечисление субсидий осуществляется на счета территориального органа Федерального казначейства, открытые для </w:t>
      </w:r>
      <w:r>
        <w:rPr>
          <w:rFonts w:ascii="Times New Roman" w:hAnsi="Times New Roman" w:cs="Times New Roman"/>
          <w:sz w:val="28"/>
          <w:szCs w:val="28"/>
        </w:rPr>
        <w:t xml:space="preserve">учета поступлений и их распределения между областным и местными бюджетами, для перечисления их в установленном порядке в местные бюджеты в пределах бюджетных ассигнований и лимитов бюджетных обязательств, утвержденных бюджетной росписью областного бюджета.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Объем бюджетных ассигнований из областного бюджета за счет средств федерального и областного бюджетов на предоставление субсидии местному бюджету (</w:t>
      </w:r>
      <w:r>
        <w:rPr>
          <w:rFonts w:ascii="Times New Roman" w:hAnsi="Times New Roman" w:cs="Times New Roman"/>
          <w:sz w:val="28"/>
          <w:szCs w:val="28"/>
        </w:rPr>
        <w:t xml:space="preserve">C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) в целях распределения субсидий между муниципальными образованиями области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05840" cy="5346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2415293" name="Picture 1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005840" cy="534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9.2pt;height:42.1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выравнивания потребности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области;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- общая сумма коэффициентов выравнивания потребности муниципальных образований области;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- общая сумма бюджетных ассигнований из областного бюджета за счет средств федерального и областного бюджетов на предоставление субсидии в соответствующем финансовом году.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Коэффициент выравнивания потребности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области (</w:t>
      </w:r>
      <w:r>
        <w:rPr>
          <w:rFonts w:ascii="Times New Roman" w:hAnsi="Times New Roman" w:cs="Times New Roman"/>
          <w:sz w:val="28"/>
          <w:szCs w:val="28"/>
        </w:rPr>
        <w:t xml:space="preserve">K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)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2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74725" cy="429895"/>
                <wp:effectExtent l="0" t="0" r="0" b="0"/>
                <wp:docPr id="2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692165" name="Picture 1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974724" cy="429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6.8pt;height:33.9pt;mso-wrap-distance-left:0.0pt;mso-wrap-distance-top:0.0pt;mso-wrap-distance-right:0.0pt;mso-wrap-distance-bottom:0.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заявленная финансовая потребность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области на техническое оснащение региональных и муниципальных музеев;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- общая заявленная финансовая потребность муниципальных образований области;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предельный уровень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области из областного бюджета за счет средств федерального и областного бюджетов.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Распределение субсидий муниципальным образованиям области утверждается законом области об областном бюджете на очередной финансовый год и плановый период.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Муниципальные образования области представляют в Департамент следующую отчетность: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итоговый отчет об исполнении условий предоставления субсидии - не позднее 15 января 2024 года;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 ходе выполнения мероприятий, на реализацию которых предоставлена субсидия, - не позднее 15 января 2024 года;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 достижении значений результатов использования субсидии - в порядке и сроки, предусмотренные Соглашением.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отчетность представляется в Департамент в электронном виде и на бумажных носителях по формам, утвержденным Департаментом.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Результатом использования субсидии является количество технически оснащенных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музеев на территории муниципального образования области, которое устанавливается Соглашением.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Оценка эффективности использования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путем сравнения фактически достигнутого значения результата использования субсидии со значением результата использования субсидии, указанным в Соглашении, а также с учетом увеличения количества посетителей региональных и муниципальных музеев.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18. В случае если органом местного самоуправления муниципального образования области по состоянию на 31 декабря года предоставления субсидии допущены нарушения обязательств, предусмотренных Соглашением, и в срок до первой даты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я отчета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местного бюджета в областной бюджет (</w:t>
      </w:r>
      <w:r>
        <w:rPr>
          <w:rFonts w:ascii="Times New Roman" w:hAnsi="Times New Roman" w:cs="Times New Roman"/>
          <w:sz w:val="28"/>
          <w:szCs w:val="28"/>
        </w:rPr>
        <w:t xml:space="preserve">Vвозврата</w:t>
      </w:r>
      <w:r>
        <w:rPr>
          <w:rFonts w:ascii="Times New Roman" w:hAnsi="Times New Roman" w:cs="Times New Roman"/>
          <w:sz w:val="28"/>
          <w:szCs w:val="28"/>
        </w:rPr>
        <w:t xml:space="preserve">) в срок до 1 июля года, следующего за годом предоставления субсидии, рассчитывается по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Vвозврата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 xml:space="preserve">Vсубсидии</w:t>
      </w:r>
      <w:r>
        <w:rPr>
          <w:rFonts w:ascii="Times New Roman" w:hAnsi="Times New Roman" w:cs="Times New Roman"/>
          <w:sz w:val="28"/>
          <w:szCs w:val="28"/>
        </w:rPr>
        <w:t xml:space="preserve"> x k x m / n) x 0,1,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Vвозврата</w:t>
      </w:r>
      <w:r>
        <w:rPr>
          <w:rFonts w:ascii="Times New Roman" w:hAnsi="Times New Roman" w:cs="Times New Roman"/>
          <w:sz w:val="28"/>
          <w:szCs w:val="28"/>
        </w:rPr>
        <w:t xml:space="preserve"> - объем средств, подлежащий возврату из местного бюджета в областной бюджет;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Vсубсидии</w:t>
      </w:r>
      <w:r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местному бюджету в отчетном финансовом году;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 - количество результатов использования субсидии, по которым индекс, отражающий уровень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имеет положительное значение;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- общее количество результатов использования субсидии;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- коэффициент возврата субсидии.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объема средств, подлежащего возврату из местного бюджета в областной бюджет, в размере субсидии, предоставленной местному бюджету в отчетном финансовом году (</w:t>
      </w:r>
      <w:r>
        <w:rPr>
          <w:rFonts w:ascii="Times New Roman" w:hAnsi="Times New Roman" w:cs="Times New Roman"/>
          <w:sz w:val="28"/>
          <w:szCs w:val="28"/>
        </w:rPr>
        <w:t xml:space="preserve">Vсубсидии</w:t>
      </w:r>
      <w:r>
        <w:rPr>
          <w:rFonts w:ascii="Times New Roman" w:hAnsi="Times New Roman" w:cs="Times New Roman"/>
          <w:sz w:val="28"/>
          <w:szCs w:val="28"/>
        </w:rPr>
        <w:t xml:space="preserve">), не учитывается размер остатка субсидии, не использованного по состоянию на 1 января текущего финансового года.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возврата субсидии рассчитывается по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 = SUM 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m,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- коэффициент возврата субсидии;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 - количество результатов использования субсидии, по которым индекс, отражающий уровень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имеет положительное значение;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SUM - знак суммирования.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определяется: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= 1 - </w:t>
      </w:r>
      <w:r>
        <w:rPr>
          <w:rFonts w:ascii="Times New Roman" w:hAnsi="Times New Roman" w:cs="Times New Roman"/>
          <w:sz w:val="28"/>
          <w:szCs w:val="28"/>
        </w:rPr>
        <w:t xml:space="preserve"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для результатов использования субсидии, по которым большее значение фактически достигнутого значения отражает меньшую эффективность предоставления субсидии, - по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= 1 - </w:t>
      </w: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В случае наруше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муниципальными образованиями области условий использования субсидии и (или) невозврата неиспользованных остатков субсидии в областной бюджет к ним применяются бюджетные меры принуждения, предусмотренные бюджетным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20. Основанием для освобождения органов местного самоуправления муниципальных образований области от применения мер ответственности, предусмотренных </w:t>
      </w:r>
      <w:hyperlink w:tooltip="#P83" w:anchor="P8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при наличии основания, предусмотренного </w:t>
      </w:r>
      <w:hyperlink w:tooltip="#P122" w:anchor="P12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абзацем первым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подготавливает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 нарушения.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заключение формируется не позднее 5 июня года, следующего за годом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субсидии, на основании документов, подтверждающих наступление обстоятельств непреодолимой силы, вследствие которых соответствующие обязательства не были исполнены, представляемых Департаменту органом местного самоуправления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области, допустившим нарушение соответствующих обязательств.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лиц, ответственных за такое нарушение.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освобождения органа местного самоуправления муниципального образования области от применения мер ответственности, предусмотренных </w:t>
      </w:r>
      <w:hyperlink w:tooltip="#P83" w:anchor="P8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не позднее 30-го рабочего дня после первой даты представления отчета о достижении значений результатов использования субсидии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Соглашением в году, следующем за годом предоставления субсидии, направляет в орган местного самоуправления муниципального образования области требование о возврате из местного бюджета в областной бюджет объема средств, рассчитанного в соответствии с </w:t>
      </w:r>
      <w:hyperlink w:tooltip="#P83" w:anchor="P8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с указанием сумм, подлежащих возврату, и сроков их возврата (далее - требование о возврате).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в случае полного или частичного </w:t>
      </w:r>
      <w:r>
        <w:rPr>
          <w:rFonts w:ascii="Times New Roman" w:hAnsi="Times New Roman" w:cs="Times New Roman"/>
          <w:sz w:val="28"/>
          <w:szCs w:val="28"/>
        </w:rPr>
        <w:t xml:space="preserve">не 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сумм, указанных в требовании о возврате, в течение 5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истечения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hyperlink w:tooltip="#P122" w:anchor="P12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сроков для возврата в областной бюджет средств из местного бюджета представляет информацию о неисполнении требования о возврате в департамент финансов правительства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финансов правительства области в срок не позднее 10 раб</w:t>
      </w:r>
      <w:r>
        <w:rPr>
          <w:rFonts w:ascii="Times New Roman" w:hAnsi="Times New Roman" w:cs="Times New Roman"/>
          <w:sz w:val="28"/>
          <w:szCs w:val="28"/>
        </w:rPr>
        <w:t xml:space="preserve">очих дней со дня получения указанной информации от главного распорядителя средств областного бюджета назначает проверку исполнения органом местного самоуправления муниципального образования области требования о возврате в соответствии с утвержденными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федеральными стандартами внутреннего государственного (муниципального) финансового контроля "Проведение проверок, ревизий и обследований и оформление их результатов", "Реализация результатов проверок, ревизий и обследований".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Не использованные на 1 января текущего финансового года субсидии подлежат возврату в доход областного бюджета.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неиспользованный остаток субсидии не перечислен в доход областного бюджета, указанные средства подлежат взысканию в доход областного бюджета в порядке, устанавливаемом департаментом финансов правительства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Департамента о наличии потребности местного бюджета в </w:t>
      </w:r>
      <w:r>
        <w:rPr>
          <w:rFonts w:ascii="Times New Roman" w:hAnsi="Times New Roman" w:cs="Times New Roman"/>
          <w:sz w:val="28"/>
          <w:szCs w:val="28"/>
        </w:rPr>
        <w:t xml:space="preserve">субсидии, не использованной в отчетном финансовом году, согласованным с департаментом финансов правительства области, средства в объеме, н</w:t>
      </w:r>
      <w:r>
        <w:rPr>
          <w:rFonts w:ascii="Times New Roman" w:hAnsi="Times New Roman" w:cs="Times New Roman"/>
          <w:sz w:val="28"/>
          <w:szCs w:val="28"/>
        </w:rPr>
        <w:t xml:space="preserve">е превышающем остатка субсидии, могут быть возвращены в текущем финансовом году в доход местного бюджета, которому они были ранее предоставлены, для финансового обеспечения расходов местного бюджета, соответствующих целям предоставления указанной субсидии.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В случае нецелевого использования субсидии к органу местного самоуправления муниципального образования области применяются бюджетные меры принуждения, предусмотренные бюджетным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приостановлении перечисления (сокращении объема) субсидии местному бюджету не принимается в случае, если условия предоставления субсидии были не выполнены муниципальным образованием области в силу обстоятельств непреодолимой силы.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540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Контроль за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муниципальными образованиями области целей, порядка и условий расходования субсидий осуществляется Департаментом и органами государственного финансового контроля области в порядке, установленном бюджетным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  <w:lang w:eastAsia="ru-RU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24. 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постановления вступает в силу после дня его официального опубликования.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области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Р.Э.Гольдштейн</w:t>
      </w:r>
      <w:r/>
    </w:p>
    <w:p>
      <w:r/>
      <w:r/>
    </w:p>
    <w:sectPr>
      <w:headerReference w:type="default" r:id="rId8"/>
      <w:footnotePr>
        <w:numRestart w:val="eachPage"/>
      </w:footnotePr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rPr>
        <w:rStyle w:val="838"/>
        <w:sz w:val="24"/>
        <w:szCs w:val="24"/>
      </w:rPr>
      <w:framePr w:wrap="auto" w:vAnchor="text" w:hAnchor="margin" w:xAlign="center" w:y="1"/>
    </w:pPr>
    <w:r>
      <w:rPr>
        <w:rStyle w:val="838"/>
        <w:sz w:val="24"/>
        <w:szCs w:val="24"/>
      </w:rPr>
      <w:fldChar w:fldCharType="begin"/>
    </w:r>
    <w:r>
      <w:rPr>
        <w:rStyle w:val="838"/>
        <w:sz w:val="24"/>
        <w:szCs w:val="24"/>
      </w:rPr>
      <w:instrText xml:space="preserve">PAGE  </w:instrText>
    </w:r>
    <w:r>
      <w:rPr>
        <w:rStyle w:val="838"/>
        <w:sz w:val="24"/>
        <w:szCs w:val="24"/>
      </w:rPr>
      <w:fldChar w:fldCharType="separate"/>
    </w:r>
    <w:r>
      <w:rPr>
        <w:rStyle w:val="838"/>
        <w:sz w:val="24"/>
        <w:szCs w:val="24"/>
      </w:rPr>
      <w:t xml:space="preserve">2</w:t>
    </w:r>
    <w:r>
      <w:rPr>
        <w:rStyle w:val="838"/>
        <w:sz w:val="24"/>
        <w:szCs w:val="24"/>
      </w:rPr>
      <w:fldChar w:fldCharType="end"/>
    </w:r>
    <w:r/>
  </w:p>
  <w:p>
    <w:pPr>
      <w:pStyle w:val="836"/>
      <w:jc w:val="center"/>
      <w:rPr>
        <w:sz w:val="24"/>
        <w:szCs w:val="24"/>
      </w:rPr>
    </w:pPr>
    <w:r>
      <w:rPr>
        <w:sz w:val="24"/>
        <w:szCs w:val="24"/>
      </w:rPr>
    </w:r>
    <w:r/>
  </w:p>
  <w:p>
    <w:pPr>
      <w:pStyle w:val="836"/>
      <w:jc w:val="center"/>
      <w:rPr>
        <w:sz w:val="24"/>
        <w:szCs w:val="24"/>
      </w:rPr>
    </w:pPr>
    <w:r>
      <w:rPr>
        <w:sz w:val="24"/>
        <w:szCs w:val="24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2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2"/>
    <w:next w:val="832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3"/>
    <w:link w:val="676"/>
    <w:uiPriority w:val="10"/>
    <w:rPr>
      <w:sz w:val="48"/>
      <w:szCs w:val="48"/>
    </w:rPr>
  </w:style>
  <w:style w:type="paragraph" w:styleId="678">
    <w:name w:val="Subtitle"/>
    <w:basedOn w:val="832"/>
    <w:next w:val="832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3"/>
    <w:link w:val="678"/>
    <w:uiPriority w:val="11"/>
    <w:rPr>
      <w:sz w:val="24"/>
      <w:szCs w:val="24"/>
    </w:rPr>
  </w:style>
  <w:style w:type="paragraph" w:styleId="680">
    <w:name w:val="Quote"/>
    <w:basedOn w:val="832"/>
    <w:next w:val="832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2"/>
    <w:next w:val="832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3"/>
    <w:link w:val="836"/>
    <w:uiPriority w:val="99"/>
  </w:style>
  <w:style w:type="character" w:styleId="685">
    <w:name w:val="Footer Char"/>
    <w:basedOn w:val="833"/>
    <w:link w:val="839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9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cs="Times New Roma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Header"/>
    <w:basedOn w:val="832"/>
    <w:link w:val="83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  <w:szCs w:val="28"/>
      <w:lang w:eastAsia="ru-RU"/>
    </w:rPr>
  </w:style>
  <w:style w:type="character" w:styleId="837" w:customStyle="1">
    <w:name w:val="Верхний колонтитул Знак"/>
    <w:basedOn w:val="833"/>
    <w:link w:val="836"/>
    <w:uiPriority w:val="99"/>
    <w:rPr>
      <w:rFonts w:ascii="Times New Roman" w:hAnsi="Times New Roman" w:cs="Times New Roman"/>
      <w:sz w:val="28"/>
      <w:szCs w:val="28"/>
      <w:lang w:eastAsia="ru-RU"/>
    </w:rPr>
  </w:style>
  <w:style w:type="character" w:styleId="838">
    <w:name w:val="page number"/>
    <w:basedOn w:val="833"/>
    <w:uiPriority w:val="99"/>
    <w:rPr>
      <w:rFonts w:cs="Times New Roman"/>
    </w:rPr>
  </w:style>
  <w:style w:type="paragraph" w:styleId="839">
    <w:name w:val="Footer"/>
    <w:basedOn w:val="832"/>
    <w:link w:val="840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  <w:szCs w:val="28"/>
      <w:lang w:eastAsia="ru-RU"/>
    </w:rPr>
  </w:style>
  <w:style w:type="character" w:styleId="840" w:customStyle="1">
    <w:name w:val="Нижний колонтитул Знак"/>
    <w:basedOn w:val="833"/>
    <w:link w:val="839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841">
    <w:name w:val="Balloon Text"/>
    <w:basedOn w:val="832"/>
    <w:link w:val="842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2" w:customStyle="1">
    <w:name w:val="Текст выноски Знак"/>
    <w:basedOn w:val="833"/>
    <w:link w:val="841"/>
    <w:uiPriority w:val="99"/>
    <w:rPr>
      <w:rFonts w:ascii="Segoe UI" w:hAnsi="Segoe UI" w:cs="Segoe UI"/>
      <w:sz w:val="18"/>
      <w:szCs w:val="18"/>
    </w:rPr>
  </w:style>
  <w:style w:type="paragraph" w:styleId="84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EB195CFF28EE039C175F8773C67485F8BC71412C885A9FB8ACF0A685B57CC28D16E937A277D460EC969C15446825B93AF73DEC2C9D41l2pAX" TargetMode="External"/><Relationship Id="rId10" Type="http://schemas.openxmlformats.org/officeDocument/2006/relationships/hyperlink" Target="consultantplus://offline/ref=EB195CFF28EE039C175F997ED018DFF7BE7A1D23885896E7F0AFFDD8E275C8DA51A66EE434D867E7C2CD52116E70E160A231F327834328807AAD74l1pBX" TargetMode="External"/><Relationship Id="rId11" Type="http://schemas.openxmlformats.org/officeDocument/2006/relationships/hyperlink" Target="consultantplus://offline/ref=EB195CFF28EE039C175F8773C67485F8BC72422A875E9FB8ACF0A685B57CC28D16E937A472D562EEC99900553029B12DE93CF3309F432Bl9pDX" TargetMode="External"/><Relationship Id="rId12" Type="http://schemas.openxmlformats.org/officeDocument/2006/relationships/hyperlink" Target="consultantplus://offline/ref=EB195CFF28EE039C175F997ED018DFF7BE7A1D23885896E7F0AFFDD8E275C8DA51A66EE434D867E7C2CD52116E70E160A231F327834328807AAD74l1pBX" TargetMode="External"/><Relationship Id="rId13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Управление культуры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revision>4</cp:revision>
  <dcterms:created xsi:type="dcterms:W3CDTF">2023-01-18T23:49:00Z</dcterms:created>
  <dcterms:modified xsi:type="dcterms:W3CDTF">2023-01-19T05:30:11Z</dcterms:modified>
</cp:coreProperties>
</file>